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10D0C" w14:textId="77777777" w:rsidR="002425F4" w:rsidRPr="00F67175" w:rsidRDefault="001008BF" w:rsidP="002425F4">
      <w:pPr>
        <w:pStyle w:val="NormaleWeb"/>
        <w:rPr>
          <w:rFonts w:ascii="Palatino Linotype" w:hAnsi="Palatino Linotype"/>
          <w:b/>
          <w:bCs/>
          <w:sz w:val="32"/>
          <w:szCs w:val="32"/>
          <w:lang w:val="it-IT"/>
        </w:rPr>
      </w:pPr>
      <w:r w:rsidRPr="00144CA5">
        <w:rPr>
          <w:rFonts w:ascii="Palatino Linotype" w:hAnsi="Palatino Linotype"/>
          <w:sz w:val="22"/>
          <w:szCs w:val="22"/>
          <w:lang w:val="it-IT"/>
        </w:rPr>
        <w:br/>
      </w:r>
      <w:r w:rsidR="002425F4" w:rsidRPr="00F67175">
        <w:rPr>
          <w:rFonts w:ascii="Palatino Linotype" w:hAnsi="Palatino Linotype"/>
          <w:b/>
          <w:bCs/>
          <w:sz w:val="28"/>
          <w:szCs w:val="32"/>
          <w:lang w:val="it-IT"/>
        </w:rPr>
        <w:t xml:space="preserve">Archivio Storico della Biennale di Venezia (ASAC) </w:t>
      </w:r>
    </w:p>
    <w:p w14:paraId="415E4E7D" w14:textId="77777777" w:rsidR="002425F4" w:rsidRPr="002425F4" w:rsidRDefault="002425F4" w:rsidP="002425F4">
      <w:pPr>
        <w:pStyle w:val="Default"/>
        <w:jc w:val="both"/>
        <w:rPr>
          <w:b/>
          <w:bCs/>
          <w:szCs w:val="22"/>
        </w:rPr>
      </w:pPr>
      <w:r w:rsidRPr="002425F4">
        <w:rPr>
          <w:szCs w:val="22"/>
        </w:rPr>
        <w:t>L’</w:t>
      </w:r>
      <w:r w:rsidRPr="002425F4">
        <w:rPr>
          <w:b/>
          <w:bCs/>
          <w:szCs w:val="22"/>
        </w:rPr>
        <w:t xml:space="preserve">Archivio Storico della Biennale di Venezia (ASAC) </w:t>
      </w:r>
      <w:r w:rsidRPr="002425F4">
        <w:rPr>
          <w:szCs w:val="22"/>
        </w:rPr>
        <w:t xml:space="preserve">raccoglie i documenti e le collezioni legate alle attività dell’Istituzione dal 1895 ad oggi. Oltre all’attività di conservazione, catalogazione, inventariazione e ricerca, l’Archivio Storico mette a disposizione i propri fondi per studenti e ricercatori provenienti da tutto il mondo. Ogni direttore artistico dei diversi settori della Biennale (Arte e Architettura, Cinema, Danza, Musica e Teatro) è chiamato a progettare e curare piccole mostre con i materiali dell’archivio che vengono così ulteriormente </w:t>
      </w:r>
      <w:proofErr w:type="gramStart"/>
      <w:r w:rsidRPr="002425F4">
        <w:rPr>
          <w:szCs w:val="22"/>
        </w:rPr>
        <w:t>valorizzati.</w:t>
      </w:r>
      <w:r w:rsidRPr="002425F4">
        <w:rPr>
          <w:b/>
          <w:bCs/>
          <w:szCs w:val="22"/>
        </w:rPr>
        <w:t>*</w:t>
      </w:r>
      <w:proofErr w:type="gramEnd"/>
      <w:r w:rsidRPr="002425F4">
        <w:rPr>
          <w:b/>
          <w:bCs/>
          <w:szCs w:val="22"/>
        </w:rPr>
        <w:t xml:space="preserve"> </w:t>
      </w:r>
    </w:p>
    <w:p w14:paraId="59F5F60A" w14:textId="77777777" w:rsidR="002425F4" w:rsidRPr="002425F4" w:rsidRDefault="002425F4" w:rsidP="002425F4">
      <w:pPr>
        <w:pStyle w:val="Default"/>
        <w:tabs>
          <w:tab w:val="left" w:pos="8294"/>
        </w:tabs>
        <w:jc w:val="both"/>
        <w:rPr>
          <w:szCs w:val="22"/>
        </w:rPr>
      </w:pPr>
      <w:r w:rsidRPr="002425F4">
        <w:rPr>
          <w:szCs w:val="22"/>
        </w:rPr>
        <w:tab/>
      </w:r>
    </w:p>
    <w:p w14:paraId="4BECB54C" w14:textId="77777777" w:rsidR="002425F4" w:rsidRPr="002425F4" w:rsidRDefault="002425F4" w:rsidP="002425F4">
      <w:pPr>
        <w:pStyle w:val="Default"/>
        <w:jc w:val="both"/>
        <w:rPr>
          <w:szCs w:val="22"/>
        </w:rPr>
      </w:pPr>
      <w:r w:rsidRPr="002425F4">
        <w:rPr>
          <w:szCs w:val="22"/>
        </w:rPr>
        <w:t>L’</w:t>
      </w:r>
      <w:r w:rsidRPr="002425F4">
        <w:rPr>
          <w:b/>
          <w:bCs/>
          <w:szCs w:val="22"/>
        </w:rPr>
        <w:t xml:space="preserve">Archivio Storico </w:t>
      </w:r>
      <w:r w:rsidRPr="002425F4">
        <w:rPr>
          <w:szCs w:val="22"/>
        </w:rPr>
        <w:t>si articola nell’</w:t>
      </w:r>
      <w:r w:rsidRPr="002425F4">
        <w:rPr>
          <w:b/>
          <w:bCs/>
          <w:szCs w:val="22"/>
        </w:rPr>
        <w:t xml:space="preserve">Archivio </w:t>
      </w:r>
      <w:r w:rsidRPr="002425F4">
        <w:rPr>
          <w:szCs w:val="22"/>
        </w:rPr>
        <w:t xml:space="preserve">propriamente detto e nella </w:t>
      </w:r>
      <w:r w:rsidRPr="002425F4">
        <w:rPr>
          <w:b/>
          <w:bCs/>
          <w:szCs w:val="22"/>
        </w:rPr>
        <w:t>Biblioteca</w:t>
      </w:r>
      <w:r w:rsidRPr="002425F4">
        <w:rPr>
          <w:szCs w:val="22"/>
        </w:rPr>
        <w:t xml:space="preserve">. </w:t>
      </w:r>
    </w:p>
    <w:p w14:paraId="52F41261" w14:textId="6C0A5CA2" w:rsidR="002425F4" w:rsidRPr="002425F4" w:rsidRDefault="002425F4" w:rsidP="002425F4">
      <w:pPr>
        <w:pStyle w:val="rtejustify"/>
        <w:shd w:val="clear" w:color="auto" w:fill="FFFFFF"/>
        <w:spacing w:before="0" w:beforeAutospacing="0" w:after="113" w:afterAutospacing="0"/>
        <w:jc w:val="both"/>
        <w:rPr>
          <w:rFonts w:ascii="Palatino Linotype" w:hAnsi="Palatino Linotype"/>
          <w:sz w:val="28"/>
        </w:rPr>
      </w:pPr>
      <w:r w:rsidRPr="00D356EC">
        <w:rPr>
          <w:rFonts w:ascii="Palatino Linotype" w:hAnsi="Palatino Linotype"/>
          <w:szCs w:val="22"/>
        </w:rPr>
        <w:t>L’</w:t>
      </w:r>
      <w:r w:rsidRPr="00D356EC">
        <w:rPr>
          <w:rFonts w:ascii="Palatino Linotype" w:hAnsi="Palatino Linotype"/>
          <w:b/>
          <w:bCs/>
          <w:szCs w:val="22"/>
        </w:rPr>
        <w:t>Archivio</w:t>
      </w:r>
      <w:r w:rsidRPr="00D356EC">
        <w:rPr>
          <w:rFonts w:ascii="Palatino Linotype" w:hAnsi="Palatino Linotype"/>
          <w:bCs/>
          <w:szCs w:val="22"/>
        </w:rPr>
        <w:t>, nell’attesa del trasferimento presso la nuova sede dell’Arsenale</w:t>
      </w:r>
      <w:r w:rsidR="00D356EC" w:rsidRPr="00D356EC">
        <w:rPr>
          <w:rFonts w:ascii="Palatino Linotype" w:hAnsi="Palatino Linotype"/>
          <w:bCs/>
          <w:szCs w:val="22"/>
        </w:rPr>
        <w:t xml:space="preserve"> </w:t>
      </w:r>
      <w:r w:rsidR="00D356EC" w:rsidRPr="00D356EC">
        <w:rPr>
          <w:rFonts w:ascii="Palatino Linotype" w:hAnsi="Palatino Linotype"/>
          <w:b/>
          <w:bCs/>
          <w:szCs w:val="22"/>
        </w:rPr>
        <w:t>nel 2026</w:t>
      </w:r>
      <w:r w:rsidRPr="00D356EC">
        <w:rPr>
          <w:rFonts w:ascii="Palatino Linotype" w:hAnsi="Palatino Linotype"/>
          <w:bCs/>
          <w:szCs w:val="22"/>
        </w:rPr>
        <w:t>, dove sono in corso gli interventi di recupero degli edifici denominati Magazzini del Ferro e delle Officine</w:t>
      </w:r>
      <w:r w:rsidR="00D356EC" w:rsidRPr="00D356EC">
        <w:rPr>
          <w:rFonts w:ascii="Palatino Linotype" w:hAnsi="Palatino Linotype"/>
          <w:bCs/>
          <w:szCs w:val="22"/>
        </w:rPr>
        <w:t xml:space="preserve"> </w:t>
      </w:r>
      <w:r w:rsidR="00D356EC" w:rsidRPr="00D356EC">
        <w:rPr>
          <w:rFonts w:ascii="Palatino Linotype" w:hAnsi="Palatino Linotype"/>
          <w:b/>
          <w:bCs/>
          <w:szCs w:val="22"/>
        </w:rPr>
        <w:t>per oltre 8.000</w:t>
      </w:r>
      <w:r w:rsidR="00F67175">
        <w:rPr>
          <w:rFonts w:ascii="Palatino Linotype" w:hAnsi="Palatino Linotype"/>
          <w:b/>
          <w:bCs/>
          <w:szCs w:val="22"/>
        </w:rPr>
        <w:t xml:space="preserve"> </w:t>
      </w:r>
      <w:r w:rsidR="00D356EC" w:rsidRPr="00D356EC">
        <w:rPr>
          <w:rFonts w:ascii="Palatino Linotype" w:hAnsi="Palatino Linotype"/>
          <w:b/>
          <w:bCs/>
          <w:szCs w:val="22"/>
        </w:rPr>
        <w:t>mq</w:t>
      </w:r>
      <w:r w:rsidRPr="00D356EC">
        <w:rPr>
          <w:rFonts w:ascii="Palatino Linotype" w:hAnsi="Palatino Linotype"/>
          <w:bCs/>
          <w:szCs w:val="22"/>
        </w:rPr>
        <w:t>,</w:t>
      </w:r>
      <w:r w:rsidRPr="00D356EC">
        <w:rPr>
          <w:rFonts w:ascii="Palatino Linotype" w:hAnsi="Palatino Linotype" w:cs="Palatino Linotype"/>
          <w:color w:val="000000"/>
          <w:szCs w:val="22"/>
          <w:lang w:eastAsia="en-US"/>
        </w:rPr>
        <w:t xml:space="preserve"> </w:t>
      </w:r>
      <w:r w:rsidRPr="00D356EC">
        <w:rPr>
          <w:rFonts w:ascii="Palatino Linotype" w:hAnsi="Palatino Linotype"/>
          <w:szCs w:val="22"/>
        </w:rPr>
        <w:t>è collocato</w:t>
      </w:r>
      <w:r w:rsidRPr="002425F4">
        <w:rPr>
          <w:rFonts w:ascii="Palatino Linotype" w:hAnsi="Palatino Linotype"/>
          <w:szCs w:val="22"/>
        </w:rPr>
        <w:t xml:space="preserve"> dal 2008 presso gli spazi del Parco Scientifico Tecnologico VEGA di Porto Marghera</w:t>
      </w:r>
      <w:r w:rsidR="00F67175">
        <w:rPr>
          <w:rFonts w:ascii="Palatino Linotype" w:hAnsi="Palatino Linotype"/>
          <w:szCs w:val="22"/>
        </w:rPr>
        <w:t>,</w:t>
      </w:r>
      <w:r w:rsidRPr="002425F4">
        <w:rPr>
          <w:rFonts w:ascii="Palatino Linotype" w:hAnsi="Palatino Linotype"/>
          <w:szCs w:val="22"/>
        </w:rPr>
        <w:t xml:space="preserve"> adeguatamente allestiti per ospitare i fondi archivistici e le collezioni garantendo, da un lato, condizioni microclimatiche ottimali ai fini della conservazione e, dall’altro, l’accesso agli studiosi per la consultazione. L’Archivio conserva documenti riguardanti le attività promosse dalla Fondazione, ai quali si affiancano materiali relativi alle arti a partire dalla fine dell’800. Si distingue per l’eterogeneità delle testimonianze e dei supporti, tra cui rassegne stampa, fotografie, carteggi, audiovisivi, partiture, opere d’arte, dischi in vinile, manifesti. Ospita, inoltre, i seguenti archivi: </w:t>
      </w:r>
      <w:r w:rsidRPr="002425F4">
        <w:rPr>
          <w:rFonts w:ascii="Palatino Linotype" w:hAnsi="Palatino Linotype"/>
          <w:b/>
          <w:bCs/>
          <w:szCs w:val="22"/>
        </w:rPr>
        <w:t>Archivio Luca Ronconi</w:t>
      </w:r>
      <w:r w:rsidRPr="002425F4">
        <w:rPr>
          <w:rFonts w:ascii="Palatino Linotype" w:hAnsi="Palatino Linotype"/>
          <w:szCs w:val="22"/>
        </w:rPr>
        <w:t xml:space="preserve">, </w:t>
      </w:r>
      <w:r w:rsidRPr="002425F4">
        <w:rPr>
          <w:rFonts w:ascii="Palatino Linotype" w:hAnsi="Palatino Linotype"/>
          <w:b/>
          <w:bCs/>
          <w:szCs w:val="22"/>
        </w:rPr>
        <w:t>Fondo Palazzo Grassi/Fiat (1984-2005)</w:t>
      </w:r>
      <w:r w:rsidRPr="002425F4">
        <w:rPr>
          <w:rFonts w:ascii="Palatino Linotype" w:hAnsi="Palatino Linotype"/>
          <w:szCs w:val="22"/>
        </w:rPr>
        <w:t xml:space="preserve">, </w:t>
      </w:r>
      <w:r w:rsidRPr="002425F4">
        <w:rPr>
          <w:rFonts w:ascii="Palatino Linotype" w:hAnsi="Palatino Linotype"/>
          <w:b/>
          <w:bCs/>
          <w:szCs w:val="22"/>
        </w:rPr>
        <w:t>Archivio Premio Architettura città di Oderzo</w:t>
      </w:r>
      <w:r w:rsidRPr="002425F4">
        <w:rPr>
          <w:rFonts w:ascii="Palatino Linotype" w:hAnsi="Palatino Linotype"/>
          <w:szCs w:val="22"/>
        </w:rPr>
        <w:t xml:space="preserve">, </w:t>
      </w:r>
      <w:r w:rsidRPr="002425F4">
        <w:rPr>
          <w:rFonts w:ascii="Palatino Linotype" w:hAnsi="Palatino Linotype"/>
          <w:b/>
          <w:bCs/>
          <w:szCs w:val="22"/>
        </w:rPr>
        <w:t>Archivio Lorenzo Capellini, Archivio Luca Massimo Barbero, Archivio Nuova Icona, Archivio Enzo di Martino, Archivio Tullio Kezich</w:t>
      </w:r>
      <w:r w:rsidRPr="002425F4">
        <w:rPr>
          <w:rFonts w:ascii="Palatino Linotype" w:hAnsi="Palatino Linotype"/>
          <w:szCs w:val="22"/>
        </w:rPr>
        <w:t xml:space="preserve">, </w:t>
      </w:r>
      <w:r w:rsidRPr="002425F4">
        <w:rPr>
          <w:rFonts w:ascii="Palatino Linotype" w:hAnsi="Palatino Linotype"/>
          <w:b/>
          <w:szCs w:val="22"/>
        </w:rPr>
        <w:t>Archivio Gian Piero Brunetta, Archivio Paolo Valmarana, Archivio Sergio Asti, Archivio Sergio Fantoni.</w:t>
      </w:r>
    </w:p>
    <w:p w14:paraId="7871F10C" w14:textId="77777777" w:rsidR="002425F4" w:rsidRPr="002425F4" w:rsidRDefault="002425F4" w:rsidP="002425F4">
      <w:pPr>
        <w:pStyle w:val="Default"/>
        <w:jc w:val="both"/>
        <w:rPr>
          <w:szCs w:val="22"/>
        </w:rPr>
      </w:pPr>
      <w:r w:rsidRPr="002425F4">
        <w:rPr>
          <w:szCs w:val="22"/>
        </w:rPr>
        <w:t xml:space="preserve">La </w:t>
      </w:r>
      <w:r w:rsidRPr="002425F4">
        <w:rPr>
          <w:b/>
          <w:bCs/>
          <w:szCs w:val="22"/>
        </w:rPr>
        <w:t xml:space="preserve">Biblioteca </w:t>
      </w:r>
      <w:r w:rsidRPr="002425F4">
        <w:rPr>
          <w:szCs w:val="22"/>
        </w:rPr>
        <w:t xml:space="preserve">dal 2009 è parte integrante del Padiglione Centrale ai Giardini. Specializzata sui temi delle arti contemporanee, con una particolare attenzione alla documentazione e all’approfondimento delle aree di attività della Fondazione, conserva tutti i cataloghi delle attività di Biennale e raccoglie materiale bibliografico inerente alle discipline di architettura, arti visive, cinema, danza, fotografia, musica, teatro. Grazie a un patrimonio librario di oltre 170.000 volumi e 3.200 periodici, è fra le principali biblioteche di arti contemporanee in Italia. </w:t>
      </w:r>
    </w:p>
    <w:p w14:paraId="46394315" w14:textId="77777777" w:rsidR="002425F4" w:rsidRPr="002425F4" w:rsidRDefault="002425F4" w:rsidP="002425F4">
      <w:pPr>
        <w:pStyle w:val="Default"/>
        <w:jc w:val="both"/>
        <w:rPr>
          <w:szCs w:val="22"/>
        </w:rPr>
      </w:pPr>
      <w:r w:rsidRPr="002425F4">
        <w:rPr>
          <w:szCs w:val="22"/>
        </w:rPr>
        <w:t xml:space="preserve">Una selezione di opere d’arte appartenenti al Fondo Artistico è esposta presso la sede centrale di Ca’ Giustinian. </w:t>
      </w:r>
    </w:p>
    <w:p w14:paraId="1DCF61DC" w14:textId="77777777" w:rsidR="002425F4" w:rsidRPr="00724327" w:rsidRDefault="002425F4" w:rsidP="002425F4">
      <w:pPr>
        <w:pStyle w:val="Default"/>
        <w:jc w:val="both"/>
        <w:rPr>
          <w:sz w:val="10"/>
          <w:szCs w:val="10"/>
        </w:rPr>
      </w:pPr>
    </w:p>
    <w:p w14:paraId="37E9F79C" w14:textId="77777777" w:rsidR="00D356EC" w:rsidRDefault="00D356EC" w:rsidP="00F00704">
      <w:pPr>
        <w:pStyle w:val="Default"/>
        <w:jc w:val="both"/>
        <w:rPr>
          <w:szCs w:val="22"/>
        </w:rPr>
      </w:pPr>
    </w:p>
    <w:p w14:paraId="25CCE87A" w14:textId="77777777" w:rsidR="00D356EC" w:rsidRDefault="00D356EC" w:rsidP="00F00704">
      <w:pPr>
        <w:pStyle w:val="Default"/>
        <w:jc w:val="both"/>
        <w:rPr>
          <w:szCs w:val="22"/>
        </w:rPr>
      </w:pPr>
    </w:p>
    <w:p w14:paraId="40FF4AC4" w14:textId="77777777" w:rsidR="00D356EC" w:rsidRDefault="00D356EC" w:rsidP="00F00704">
      <w:pPr>
        <w:pStyle w:val="Default"/>
        <w:jc w:val="both"/>
        <w:rPr>
          <w:szCs w:val="22"/>
        </w:rPr>
      </w:pPr>
    </w:p>
    <w:p w14:paraId="1CE40EC2" w14:textId="77777777" w:rsidR="002425F4" w:rsidRPr="002425F4" w:rsidRDefault="002425F4" w:rsidP="002425F4">
      <w:pPr>
        <w:pStyle w:val="Default"/>
        <w:jc w:val="both"/>
        <w:rPr>
          <w:szCs w:val="22"/>
        </w:rPr>
      </w:pPr>
      <w:r w:rsidRPr="002425F4">
        <w:rPr>
          <w:szCs w:val="22"/>
        </w:rPr>
        <w:lastRenderedPageBreak/>
        <w:t xml:space="preserve">Nello scorso triennio La Biennale di Venezia si è impegnata nel potenziamento delle attività del suo Archivio Storico, interessato anche dalla ristrutturazione di una nuova sede all’interno dell’Arsenale, al fine di sviluppare attorno allo stesso un </w:t>
      </w:r>
      <w:r w:rsidRPr="002425F4">
        <w:rPr>
          <w:b/>
          <w:bCs/>
          <w:szCs w:val="22"/>
        </w:rPr>
        <w:t>nuovo Centro Internazionale della Ricerca sulle Arti Contemporanee</w:t>
      </w:r>
      <w:r w:rsidRPr="002425F4">
        <w:rPr>
          <w:szCs w:val="22"/>
        </w:rPr>
        <w:t xml:space="preserve">, polo permanente inaugurato nel 2021 volto alla costruzione di relazioni e progetti con studenti, ricercatori, Istituzioni culturali </w:t>
      </w:r>
      <w:proofErr w:type="gramStart"/>
      <w:r w:rsidRPr="002425F4">
        <w:rPr>
          <w:szCs w:val="22"/>
        </w:rPr>
        <w:t>e</w:t>
      </w:r>
      <w:proofErr w:type="gramEnd"/>
      <w:r w:rsidRPr="002425F4">
        <w:rPr>
          <w:szCs w:val="22"/>
        </w:rPr>
        <w:t xml:space="preserve"> Enti di Ricerca internazionali e nazionali. Nel 2024 si è pertanto consolidato il progetto di ricerca per la </w:t>
      </w:r>
      <w:r w:rsidRPr="002425F4">
        <w:rPr>
          <w:b/>
          <w:bCs/>
          <w:szCs w:val="22"/>
        </w:rPr>
        <w:t>mappatura geopolitica degli artisti che hanno partecipato alle attività di tutti i Settori della Biennale negli ultimi 20 anni</w:t>
      </w:r>
      <w:r w:rsidRPr="002425F4">
        <w:rPr>
          <w:szCs w:val="22"/>
        </w:rPr>
        <w:t xml:space="preserve">, sviluppato insieme agli studenti di Ca’ Foscari, IUAV, Università La Sapienza di Roma, IULM, Accademia di Belle Arti e Conservatorio di Musica Benedetto Marcello di Venezia. </w:t>
      </w:r>
    </w:p>
    <w:p w14:paraId="7416DBE0" w14:textId="77777777" w:rsidR="002425F4" w:rsidRDefault="002425F4" w:rsidP="002425F4">
      <w:pPr>
        <w:pStyle w:val="Default"/>
        <w:jc w:val="both"/>
        <w:rPr>
          <w:sz w:val="22"/>
          <w:szCs w:val="22"/>
        </w:rPr>
      </w:pPr>
    </w:p>
    <w:p w14:paraId="2BFE1171" w14:textId="77777777" w:rsidR="002425F4" w:rsidRPr="002425F4" w:rsidRDefault="002425F4" w:rsidP="002425F4">
      <w:pPr>
        <w:pStyle w:val="Default"/>
        <w:jc w:val="both"/>
        <w:rPr>
          <w:szCs w:val="22"/>
        </w:rPr>
      </w:pPr>
      <w:r w:rsidRPr="002425F4">
        <w:rPr>
          <w:szCs w:val="22"/>
        </w:rPr>
        <w:t xml:space="preserve">Il passo ulteriore compiuto dai 60 studenti di questa seconda fase, che ha visto l’avvicendarsi di nove gruppi di studio impegnati fino alla fine del 2024, è stato quello di dedicarsi all’implementazione del database e alla scrittura di articoli scientifici partendo da uno specifico caso di studio. L’obiettivo della seconda fase è quello di comporre una raccolta di casi di studio di artiste e artisti, successivamente pubblicata, approfondendo la ricerca quantitativa avvenuta nel primo ciclo e arricchendola di innesti qualitativi per una riflessione tridimensionale sull’arte contemporanea e il suo contesto sociale. </w:t>
      </w:r>
    </w:p>
    <w:p w14:paraId="4CEFF9A3" w14:textId="77777777" w:rsidR="002425F4" w:rsidRPr="002425F4" w:rsidRDefault="002425F4" w:rsidP="002425F4">
      <w:pPr>
        <w:pStyle w:val="Default"/>
        <w:jc w:val="both"/>
        <w:rPr>
          <w:szCs w:val="22"/>
        </w:rPr>
      </w:pPr>
      <w:r w:rsidRPr="002425F4">
        <w:rPr>
          <w:szCs w:val="22"/>
        </w:rPr>
        <w:t>Come ulteriore percorso complementare sono stati lanciati, a partire dagli esiti delle ricerche di mappatura geopolitica degli artisti, i laboratori denominati di seguito “</w:t>
      </w:r>
      <w:r w:rsidRPr="002425F4">
        <w:rPr>
          <w:b/>
          <w:bCs/>
          <w:szCs w:val="22"/>
        </w:rPr>
        <w:t>Laboratorio Archivio”</w:t>
      </w:r>
      <w:r w:rsidRPr="002425F4">
        <w:rPr>
          <w:szCs w:val="22"/>
        </w:rPr>
        <w:t xml:space="preserve">, oltre al proseguire del programma </w:t>
      </w:r>
      <w:r w:rsidRPr="002425F4">
        <w:rPr>
          <w:b/>
          <w:bCs/>
          <w:szCs w:val="22"/>
        </w:rPr>
        <w:t xml:space="preserve">College ASAC scrivere in residenza </w:t>
      </w:r>
      <w:r w:rsidRPr="002425F4">
        <w:rPr>
          <w:szCs w:val="22"/>
        </w:rPr>
        <w:t>giunto nel 2024 alla sua settima edizione, che vede il coinvolgimento di giovani studiosi ospitati in residenza per assistere ai diversi festival e manifestazioni accompagnati da tutor. Entrambi i percorsi prevedono la consultazione e lo studio dei materiali dell’Archivio che diventa così residenza per futuri critici.</w:t>
      </w:r>
    </w:p>
    <w:p w14:paraId="2D48B709" w14:textId="77777777" w:rsidR="002425F4" w:rsidRPr="00CC1A60" w:rsidRDefault="002425F4" w:rsidP="002425F4">
      <w:pPr>
        <w:pStyle w:val="Default"/>
        <w:jc w:val="both"/>
        <w:rPr>
          <w:sz w:val="10"/>
          <w:szCs w:val="10"/>
        </w:rPr>
      </w:pPr>
    </w:p>
    <w:p w14:paraId="59A29F6C" w14:textId="77777777" w:rsidR="002425F4" w:rsidRDefault="002425F4" w:rsidP="002425F4">
      <w:pPr>
        <w:pStyle w:val="Default"/>
        <w:jc w:val="both"/>
        <w:rPr>
          <w:szCs w:val="22"/>
        </w:rPr>
      </w:pPr>
      <w:r w:rsidRPr="002425F4">
        <w:rPr>
          <w:szCs w:val="22"/>
        </w:rPr>
        <w:t xml:space="preserve">Tali nuovi progetti di ricerca hanno come obiettivo oltre la stesura di un elaborato scritto finale anche l’eventuale successiva applicazione in esiti pratici, quali installazioni, convegni, workshop o piccoli percorsi espositivi nonché il coinvolgimento degli stessi partecipanti nelle attività della Fondazione come avvenuto per i partecipanti al College di scrittura implicati nella conduzione degli incontri successivi agli spettacoli dei Festival di Danza e Musica, e inoltre in quest’ultimo caso nella realizzazione del catalogo delle attività 2024 . </w:t>
      </w:r>
    </w:p>
    <w:p w14:paraId="4ECAD331" w14:textId="77777777" w:rsidR="00F00704" w:rsidRPr="002425F4" w:rsidRDefault="00F00704" w:rsidP="002425F4">
      <w:pPr>
        <w:pStyle w:val="Default"/>
        <w:jc w:val="both"/>
        <w:rPr>
          <w:szCs w:val="22"/>
        </w:rPr>
      </w:pPr>
    </w:p>
    <w:p w14:paraId="5614DA4A" w14:textId="77777777" w:rsidR="00D356EC" w:rsidRDefault="002425F4" w:rsidP="002425F4">
      <w:pPr>
        <w:pStyle w:val="Default"/>
        <w:jc w:val="both"/>
        <w:rPr>
          <w:szCs w:val="22"/>
        </w:rPr>
      </w:pPr>
      <w:r w:rsidRPr="002425F4">
        <w:rPr>
          <w:szCs w:val="22"/>
        </w:rPr>
        <w:t xml:space="preserve">Nell’ambito di “Laboratorio Archivio” si svilupperanno in particolare programmi di ricerca interdisciplinari che coinvolgono </w:t>
      </w:r>
      <w:proofErr w:type="gramStart"/>
      <w:r w:rsidRPr="002425F4">
        <w:rPr>
          <w:szCs w:val="22"/>
        </w:rPr>
        <w:t>neo laureate</w:t>
      </w:r>
      <w:proofErr w:type="gramEnd"/>
      <w:r w:rsidRPr="002425F4">
        <w:rPr>
          <w:szCs w:val="22"/>
        </w:rPr>
        <w:t xml:space="preserve"> e laureati under 30, selezionati tramite bando dalla Biennale di Venezia, guidati da un tutor per confrontarsi su temi, parole chiave, avvenimenti che hanno caratterizzato la vita della Biennale e che emergono dagli esiti del progetto di mappatura. </w:t>
      </w:r>
    </w:p>
    <w:p w14:paraId="79071A67" w14:textId="77777777" w:rsidR="00D356EC" w:rsidRDefault="00D356EC" w:rsidP="002425F4">
      <w:pPr>
        <w:pStyle w:val="Default"/>
        <w:jc w:val="both"/>
        <w:rPr>
          <w:szCs w:val="22"/>
        </w:rPr>
      </w:pPr>
    </w:p>
    <w:p w14:paraId="208CD33C" w14:textId="77777777" w:rsidR="00D356EC" w:rsidRDefault="00D356EC" w:rsidP="002425F4">
      <w:pPr>
        <w:pStyle w:val="Default"/>
        <w:jc w:val="both"/>
        <w:rPr>
          <w:szCs w:val="22"/>
        </w:rPr>
      </w:pPr>
    </w:p>
    <w:p w14:paraId="55907B57" w14:textId="77777777" w:rsidR="00D356EC" w:rsidRDefault="00D356EC" w:rsidP="002425F4">
      <w:pPr>
        <w:pStyle w:val="Default"/>
        <w:jc w:val="both"/>
        <w:rPr>
          <w:szCs w:val="22"/>
        </w:rPr>
      </w:pPr>
    </w:p>
    <w:p w14:paraId="22D88A94" w14:textId="77777777" w:rsidR="002425F4" w:rsidRPr="002425F4" w:rsidRDefault="002425F4" w:rsidP="002425F4">
      <w:pPr>
        <w:pStyle w:val="Default"/>
        <w:jc w:val="both"/>
        <w:rPr>
          <w:color w:val="auto"/>
          <w:szCs w:val="22"/>
        </w:rPr>
      </w:pPr>
      <w:r w:rsidRPr="002425F4">
        <w:rPr>
          <w:szCs w:val="22"/>
        </w:rPr>
        <w:lastRenderedPageBreak/>
        <w:t xml:space="preserve">I giovani parteciperanno a un programma specifico di incontri di approfondimento per giungere, </w:t>
      </w:r>
      <w:r w:rsidRPr="002425F4">
        <w:rPr>
          <w:color w:val="auto"/>
          <w:szCs w:val="22"/>
        </w:rPr>
        <w:t xml:space="preserve">alla redazione di paper scientifici e alla presentazione degli esiti dello studio. I risultati saranno a loro volta messi a disposizione per essere sviluppati in specifiche applicazioni: installazioni, mostre e performance. </w:t>
      </w:r>
    </w:p>
    <w:p w14:paraId="68491EAA" w14:textId="77777777" w:rsidR="002425F4" w:rsidRDefault="002425F4" w:rsidP="002425F4">
      <w:pPr>
        <w:pStyle w:val="Default"/>
        <w:jc w:val="both"/>
        <w:rPr>
          <w:sz w:val="22"/>
          <w:szCs w:val="22"/>
        </w:rPr>
      </w:pPr>
    </w:p>
    <w:p w14:paraId="582A43DC" w14:textId="77777777" w:rsidR="002425F4" w:rsidRPr="002425F4" w:rsidRDefault="002425F4" w:rsidP="002425F4">
      <w:pPr>
        <w:pStyle w:val="Default"/>
        <w:jc w:val="both"/>
        <w:rPr>
          <w:szCs w:val="22"/>
        </w:rPr>
      </w:pPr>
      <w:r w:rsidRPr="002425F4">
        <w:rPr>
          <w:color w:val="auto"/>
          <w:szCs w:val="22"/>
        </w:rPr>
        <w:t>Nell’ambito del Centro di Ricerca dell’Archivio Storico il 2024 ha visto:</w:t>
      </w:r>
    </w:p>
    <w:p w14:paraId="687A4289" w14:textId="77777777" w:rsidR="002425F4" w:rsidRDefault="002425F4" w:rsidP="002425F4">
      <w:pPr>
        <w:pStyle w:val="Paragrafoelenco"/>
        <w:rPr>
          <w:sz w:val="22"/>
          <w:szCs w:val="22"/>
        </w:rPr>
      </w:pPr>
    </w:p>
    <w:p w14:paraId="35576606" w14:textId="77777777" w:rsidR="002425F4" w:rsidRPr="002425F4" w:rsidRDefault="002425F4" w:rsidP="002425F4">
      <w:pPr>
        <w:pStyle w:val="Default"/>
        <w:numPr>
          <w:ilvl w:val="0"/>
          <w:numId w:val="2"/>
        </w:numPr>
        <w:jc w:val="both"/>
        <w:rPr>
          <w:strike/>
          <w:color w:val="auto"/>
          <w:szCs w:val="22"/>
        </w:rPr>
      </w:pPr>
      <w:r w:rsidRPr="002425F4">
        <w:rPr>
          <w:szCs w:val="22"/>
        </w:rPr>
        <w:t xml:space="preserve">La programmazione di </w:t>
      </w:r>
      <w:r w:rsidRPr="002425F4">
        <w:rPr>
          <w:b/>
          <w:szCs w:val="22"/>
        </w:rPr>
        <w:t xml:space="preserve">convegni, presentazioni di volumi, conferenze sugli artisti </w:t>
      </w:r>
      <w:r w:rsidRPr="002425F4">
        <w:rPr>
          <w:szCs w:val="22"/>
        </w:rPr>
        <w:t xml:space="preserve">che hanno partecipato alla Biennale dalla sua fondazione ai giorni nostri, curati da ASAC in collaborazione con personalità del mondo delle arti, tra i quali critici, giornalisti, docenti universitari, direttori artistici in carica e passati, artisti professionisti, rivolti a un pubblico di studenti e ricercatori. </w:t>
      </w:r>
      <w:r w:rsidRPr="002425F4">
        <w:rPr>
          <w:color w:val="auto"/>
          <w:szCs w:val="22"/>
        </w:rPr>
        <w:t xml:space="preserve">La finalità è duplice: favorire la conoscenza circa artisti, viventi e </w:t>
      </w:r>
      <w:proofErr w:type="gramStart"/>
      <w:r w:rsidRPr="002425F4">
        <w:rPr>
          <w:color w:val="auto"/>
          <w:szCs w:val="22"/>
        </w:rPr>
        <w:t>non</w:t>
      </w:r>
      <w:proofErr w:type="gramEnd"/>
      <w:r w:rsidRPr="002425F4">
        <w:rPr>
          <w:color w:val="auto"/>
          <w:szCs w:val="22"/>
        </w:rPr>
        <w:t xml:space="preserve">, creando dialoghi e riflessioni sulla loro valenza contemporanea anche innescando il desiderio di visitare archivi, luoghi e mostre ad essi associati, e promuovere la curiosità e la spinta ad approfondimenti presso l’archivio della Biennale di Venezia stesso, non ultimo creare un pubblico affezionato non solo di utenti ma di visitatori dell’archivio e della sua Biblioteca. </w:t>
      </w:r>
    </w:p>
    <w:p w14:paraId="74F1CF5D" w14:textId="77777777" w:rsidR="002425F4" w:rsidRPr="002425F4" w:rsidRDefault="002425F4" w:rsidP="002425F4">
      <w:pPr>
        <w:pStyle w:val="Default"/>
        <w:numPr>
          <w:ilvl w:val="0"/>
          <w:numId w:val="2"/>
        </w:numPr>
        <w:jc w:val="both"/>
        <w:rPr>
          <w:strike/>
          <w:color w:val="auto"/>
          <w:szCs w:val="22"/>
        </w:rPr>
      </w:pPr>
      <w:r w:rsidRPr="002425F4">
        <w:rPr>
          <w:szCs w:val="22"/>
        </w:rPr>
        <w:t xml:space="preserve">A ciò si aggiunge il </w:t>
      </w:r>
      <w:r w:rsidRPr="002425F4">
        <w:rPr>
          <w:b/>
          <w:bCs/>
          <w:szCs w:val="22"/>
        </w:rPr>
        <w:t xml:space="preserve">supporto e lo sviluppo di progetti artistici speciali </w:t>
      </w:r>
      <w:r w:rsidRPr="002425F4">
        <w:rPr>
          <w:szCs w:val="22"/>
        </w:rPr>
        <w:t xml:space="preserve">che dialogano con l’archivio storico, come il riallestimento dello spettacolo musicato “Prometeo” in collaborazione con la Fondazione Archivio Luigi Nono e il settore DMT della Biennale proposto dal 26 al 29 gennaio scorso presso la Chiesa di San Lorenzo. </w:t>
      </w:r>
    </w:p>
    <w:p w14:paraId="7BAD2528" w14:textId="77777777" w:rsidR="002425F4" w:rsidRPr="002425F4" w:rsidRDefault="002425F4" w:rsidP="002425F4">
      <w:pPr>
        <w:pStyle w:val="Default"/>
        <w:numPr>
          <w:ilvl w:val="0"/>
          <w:numId w:val="2"/>
        </w:numPr>
        <w:jc w:val="both"/>
        <w:rPr>
          <w:szCs w:val="22"/>
        </w:rPr>
      </w:pPr>
      <w:r w:rsidRPr="002425F4">
        <w:rPr>
          <w:szCs w:val="22"/>
        </w:rPr>
        <w:t xml:space="preserve">La curatela di </w:t>
      </w:r>
      <w:r w:rsidRPr="002425F4">
        <w:rPr>
          <w:b/>
          <w:szCs w:val="22"/>
        </w:rPr>
        <w:t xml:space="preserve">mostre ASAC </w:t>
      </w:r>
      <w:r w:rsidRPr="002425F4">
        <w:rPr>
          <w:szCs w:val="22"/>
        </w:rPr>
        <w:t>con il coinvolgimento diretto dei Direttori artistici di ciascun settore. Nel 2024 è stata realizzata la mostra “</w:t>
      </w:r>
      <w:proofErr w:type="spellStart"/>
      <w:r w:rsidRPr="002425F4">
        <w:rPr>
          <w:i/>
          <w:szCs w:val="22"/>
        </w:rPr>
        <w:t>Iconoclasts</w:t>
      </w:r>
      <w:proofErr w:type="spellEnd"/>
      <w:r w:rsidRPr="002425F4">
        <w:rPr>
          <w:i/>
          <w:szCs w:val="22"/>
        </w:rPr>
        <w:t>. Donne che infrangono le regole alla Biennale Danza.</w:t>
      </w:r>
      <w:r w:rsidRPr="002425F4">
        <w:rPr>
          <w:szCs w:val="22"/>
        </w:rPr>
        <w:t>” a cura del Direttore Wayne McGregor con Elisa Guzzo Vaccarino.</w:t>
      </w:r>
    </w:p>
    <w:p w14:paraId="3C7771D5" w14:textId="77777777" w:rsidR="002425F4" w:rsidRPr="002425F4" w:rsidRDefault="002425F4" w:rsidP="002425F4">
      <w:pPr>
        <w:pStyle w:val="Default"/>
        <w:numPr>
          <w:ilvl w:val="0"/>
          <w:numId w:val="2"/>
        </w:numPr>
        <w:jc w:val="both"/>
        <w:rPr>
          <w:szCs w:val="22"/>
        </w:rPr>
      </w:pPr>
      <w:r w:rsidRPr="002425F4">
        <w:rPr>
          <w:szCs w:val="22"/>
        </w:rPr>
        <w:t xml:space="preserve">Dal 2022 l’ASAC assieme ai direttori artistici dei settori Arte, Danza, Musica e Teatro porta avanti parallelamente </w:t>
      </w:r>
      <w:r w:rsidRPr="002425F4">
        <w:rPr>
          <w:b/>
          <w:szCs w:val="22"/>
        </w:rPr>
        <w:t>quattro progetti di documentazione capillare</w:t>
      </w:r>
      <w:r w:rsidRPr="002425F4">
        <w:rPr>
          <w:szCs w:val="22"/>
        </w:rPr>
        <w:t xml:space="preserve"> e professionale delle manifestazioni artistiche in corso, per l’implementazione dei materiali video e fotografici delle Mostre di Arte e Architettura, dei festival di Danza, Musica, Teatro, Cinema, istituendo una piattaforma per la raccolta dei materiali prodotti dagli uffici Biennale. </w:t>
      </w:r>
    </w:p>
    <w:p w14:paraId="4D56CD6C" w14:textId="77777777" w:rsidR="002425F4" w:rsidRPr="00724327" w:rsidRDefault="002425F4" w:rsidP="002425F4">
      <w:pPr>
        <w:pStyle w:val="Default"/>
        <w:ind w:left="720"/>
        <w:jc w:val="both"/>
        <w:rPr>
          <w:sz w:val="22"/>
          <w:szCs w:val="22"/>
        </w:rPr>
      </w:pPr>
    </w:p>
    <w:p w14:paraId="1613884C" w14:textId="77777777" w:rsidR="002425F4" w:rsidRDefault="002425F4" w:rsidP="002425F4">
      <w:pPr>
        <w:pStyle w:val="Default"/>
        <w:jc w:val="both"/>
        <w:rPr>
          <w:sz w:val="22"/>
          <w:szCs w:val="22"/>
        </w:rPr>
      </w:pPr>
    </w:p>
    <w:p w14:paraId="066079D8" w14:textId="77777777" w:rsidR="00D356EC" w:rsidRDefault="00D356EC" w:rsidP="002425F4">
      <w:pPr>
        <w:pStyle w:val="Default"/>
        <w:jc w:val="both"/>
        <w:rPr>
          <w:b/>
          <w:bCs/>
          <w:szCs w:val="22"/>
        </w:rPr>
      </w:pPr>
    </w:p>
    <w:p w14:paraId="3E2F09B8" w14:textId="77777777" w:rsidR="00D356EC" w:rsidRDefault="00D356EC" w:rsidP="002425F4">
      <w:pPr>
        <w:pStyle w:val="Default"/>
        <w:jc w:val="both"/>
        <w:rPr>
          <w:b/>
          <w:bCs/>
          <w:szCs w:val="22"/>
        </w:rPr>
      </w:pPr>
    </w:p>
    <w:p w14:paraId="2D949ECD" w14:textId="77777777" w:rsidR="00D356EC" w:rsidRDefault="00D356EC" w:rsidP="002425F4">
      <w:pPr>
        <w:pStyle w:val="Default"/>
        <w:jc w:val="both"/>
        <w:rPr>
          <w:b/>
          <w:bCs/>
          <w:szCs w:val="22"/>
        </w:rPr>
      </w:pPr>
    </w:p>
    <w:p w14:paraId="399CF8D6" w14:textId="77777777" w:rsidR="00D356EC" w:rsidRDefault="00D356EC" w:rsidP="002425F4">
      <w:pPr>
        <w:pStyle w:val="Default"/>
        <w:jc w:val="both"/>
        <w:rPr>
          <w:b/>
          <w:bCs/>
          <w:szCs w:val="22"/>
        </w:rPr>
      </w:pPr>
    </w:p>
    <w:p w14:paraId="560305D4" w14:textId="77777777" w:rsidR="002425F4" w:rsidRPr="002425F4" w:rsidRDefault="002425F4" w:rsidP="002425F4">
      <w:pPr>
        <w:pStyle w:val="Default"/>
        <w:jc w:val="both"/>
        <w:rPr>
          <w:szCs w:val="22"/>
        </w:rPr>
      </w:pPr>
      <w:r w:rsidRPr="002425F4">
        <w:rPr>
          <w:b/>
          <w:bCs/>
          <w:szCs w:val="22"/>
        </w:rPr>
        <w:t xml:space="preserve">(*) </w:t>
      </w:r>
      <w:r w:rsidRPr="002425F4">
        <w:rPr>
          <w:szCs w:val="22"/>
        </w:rPr>
        <w:t xml:space="preserve">Dal 2010 sono state realizzate insieme ai direttori artistici le seguenti mostre: </w:t>
      </w:r>
    </w:p>
    <w:p w14:paraId="4D0378EC" w14:textId="77777777" w:rsidR="002425F4" w:rsidRPr="002425F4" w:rsidRDefault="002425F4" w:rsidP="002425F4">
      <w:pPr>
        <w:pStyle w:val="Titolo1"/>
        <w:shd w:val="clear" w:color="auto" w:fill="FFFFFF"/>
        <w:spacing w:before="270" w:beforeAutospacing="0" w:after="150" w:afterAutospacing="0"/>
        <w:rPr>
          <w:rFonts w:ascii="Palatino Linotype" w:hAnsi="Palatino Linotype"/>
          <w:i/>
          <w:iCs/>
          <w:sz w:val="20"/>
          <w:szCs w:val="18"/>
        </w:rPr>
      </w:pPr>
      <w:r w:rsidRPr="002425F4">
        <w:rPr>
          <w:rFonts w:ascii="Palatino Linotype" w:hAnsi="Palatino Linotype"/>
          <w:i/>
          <w:iCs/>
          <w:sz w:val="20"/>
          <w:szCs w:val="18"/>
        </w:rPr>
        <w:t xml:space="preserve">Il Teatro del Mondo di Aldo Rossi; Italia: 150 / Biennale: 116 - Tutti i manifesti di 116 anni di vita in Mostra; Video Medium Intermedium - Video d’artista degli anni settanta dalle collezioni </w:t>
      </w:r>
      <w:r w:rsidRPr="002425F4">
        <w:rPr>
          <w:rFonts w:ascii="Palatino Linotype" w:hAnsi="Palatino Linotype"/>
          <w:i/>
          <w:iCs/>
          <w:sz w:val="20"/>
          <w:szCs w:val="18"/>
        </w:rPr>
        <w:lastRenderedPageBreak/>
        <w:t xml:space="preserve">dell’ASAC; Gli “Archi” di Aldo Rossi per la III Mostra Internazionale di Architettura 1985; 20 Anni di Maschere e Costumi - Mostra dalla collezione di bozzetti </w:t>
      </w:r>
      <w:proofErr w:type="gramStart"/>
      <w:r w:rsidRPr="002425F4">
        <w:rPr>
          <w:rFonts w:ascii="Palatino Linotype" w:hAnsi="Palatino Linotype"/>
          <w:i/>
          <w:iCs/>
          <w:sz w:val="20"/>
          <w:szCs w:val="18"/>
        </w:rPr>
        <w:t xml:space="preserve">teatrali; </w:t>
      </w:r>
      <w:r w:rsidR="00D356EC">
        <w:rPr>
          <w:rFonts w:ascii="Palatino Linotype" w:hAnsi="Palatino Linotype"/>
          <w:i/>
          <w:iCs/>
          <w:sz w:val="20"/>
          <w:szCs w:val="18"/>
        </w:rPr>
        <w:t xml:space="preserve"> </w:t>
      </w:r>
      <w:r w:rsidRPr="002425F4">
        <w:rPr>
          <w:rFonts w:ascii="Palatino Linotype" w:hAnsi="Palatino Linotype"/>
          <w:i/>
          <w:iCs/>
          <w:sz w:val="20"/>
          <w:szCs w:val="18"/>
        </w:rPr>
        <w:t>Amarcord</w:t>
      </w:r>
      <w:proofErr w:type="gramEnd"/>
      <w:r w:rsidRPr="002425F4">
        <w:rPr>
          <w:rFonts w:ascii="Palatino Linotype" w:hAnsi="Palatino Linotype"/>
          <w:i/>
          <w:iCs/>
          <w:sz w:val="20"/>
          <w:szCs w:val="18"/>
        </w:rPr>
        <w:t xml:space="preserve"> - Frammenti di memoria dall’Archivio Storico della Biennale; Riapparizioni. Corpi, gesti, sguardi dai palcoscenici della Biennale. Album dal 1934 al 1976; L’idea del corpo. Merce </w:t>
      </w:r>
      <w:proofErr w:type="spellStart"/>
      <w:r w:rsidRPr="002425F4">
        <w:rPr>
          <w:rFonts w:ascii="Palatino Linotype" w:hAnsi="Palatino Linotype"/>
          <w:i/>
          <w:iCs/>
          <w:sz w:val="20"/>
          <w:szCs w:val="18"/>
        </w:rPr>
        <w:t>Cunnigham</w:t>
      </w:r>
      <w:proofErr w:type="spellEnd"/>
      <w:r w:rsidRPr="002425F4">
        <w:rPr>
          <w:rFonts w:ascii="Palatino Linotype" w:hAnsi="Palatino Linotype"/>
          <w:i/>
          <w:iCs/>
          <w:sz w:val="20"/>
          <w:szCs w:val="18"/>
        </w:rPr>
        <w:t>, Steve Paxton, Julian Beck, Meredith Monk e Simone Forti dall’Archivio</w:t>
      </w:r>
      <w:r w:rsidR="00D356EC">
        <w:rPr>
          <w:rFonts w:ascii="Palatino Linotype" w:hAnsi="Palatino Linotype"/>
          <w:i/>
          <w:iCs/>
          <w:sz w:val="20"/>
          <w:szCs w:val="18"/>
        </w:rPr>
        <w:t xml:space="preserve"> </w:t>
      </w:r>
      <w:r w:rsidRPr="002425F4">
        <w:rPr>
          <w:rFonts w:ascii="Palatino Linotype" w:hAnsi="Palatino Linotype"/>
          <w:i/>
          <w:iCs/>
          <w:sz w:val="20"/>
          <w:szCs w:val="18"/>
        </w:rPr>
        <w:t xml:space="preserve">della Biennale 1960-1976; 1999 - Una riproposta del percorso espositivo della mostra </w:t>
      </w:r>
      <w:proofErr w:type="spellStart"/>
      <w:r w:rsidRPr="002425F4">
        <w:rPr>
          <w:rFonts w:ascii="Palatino Linotype" w:hAnsi="Palatino Linotype"/>
          <w:i/>
          <w:iCs/>
          <w:sz w:val="20"/>
          <w:szCs w:val="18"/>
        </w:rPr>
        <w:t>dAPERTuttO</w:t>
      </w:r>
      <w:proofErr w:type="spellEnd"/>
      <w:r w:rsidRPr="002425F4">
        <w:rPr>
          <w:rFonts w:ascii="Palatino Linotype" w:hAnsi="Palatino Linotype"/>
          <w:i/>
          <w:iCs/>
          <w:sz w:val="20"/>
          <w:szCs w:val="18"/>
        </w:rPr>
        <w:t xml:space="preserve"> a cura di Harald </w:t>
      </w:r>
      <w:proofErr w:type="spellStart"/>
      <w:r w:rsidRPr="002425F4">
        <w:rPr>
          <w:rFonts w:ascii="Palatino Linotype" w:hAnsi="Palatino Linotype"/>
          <w:i/>
          <w:iCs/>
          <w:sz w:val="20"/>
          <w:szCs w:val="18"/>
        </w:rPr>
        <w:t>Szeemann</w:t>
      </w:r>
      <w:proofErr w:type="spellEnd"/>
      <w:r w:rsidRPr="002425F4">
        <w:rPr>
          <w:rFonts w:ascii="Palatino Linotype" w:hAnsi="Palatino Linotype"/>
          <w:i/>
          <w:iCs/>
          <w:sz w:val="20"/>
          <w:szCs w:val="18"/>
        </w:rPr>
        <w:t xml:space="preserve">; Biennale Arte 2001 - Platea dell’Umanità curatore Harald </w:t>
      </w:r>
      <w:proofErr w:type="spellStart"/>
      <w:r w:rsidRPr="002425F4">
        <w:rPr>
          <w:rFonts w:ascii="Palatino Linotype" w:hAnsi="Palatino Linotype"/>
          <w:i/>
          <w:iCs/>
          <w:sz w:val="20"/>
          <w:szCs w:val="18"/>
        </w:rPr>
        <w:t>Szeemann</w:t>
      </w:r>
      <w:proofErr w:type="spellEnd"/>
      <w:r w:rsidRPr="002425F4">
        <w:rPr>
          <w:rFonts w:ascii="Palatino Linotype" w:hAnsi="Palatino Linotype"/>
          <w:i/>
          <w:iCs/>
          <w:sz w:val="20"/>
          <w:szCs w:val="18"/>
        </w:rPr>
        <w:t xml:space="preserve">; Registe alla Biennale Teatro 1934 – 2016. Il Cinema in Mostra. Volti e immagini dalla Mostra Internazionale d’Arte Cinematografica 1932 – 2018; La Biennale per i giovani. College </w:t>
      </w:r>
      <w:proofErr w:type="gramStart"/>
      <w:r w:rsidRPr="002425F4">
        <w:rPr>
          <w:rFonts w:ascii="Palatino Linotype" w:hAnsi="Palatino Linotype"/>
          <w:i/>
          <w:iCs/>
          <w:sz w:val="20"/>
          <w:szCs w:val="18"/>
        </w:rPr>
        <w:t>ed</w:t>
      </w:r>
      <w:proofErr w:type="gramEnd"/>
      <w:r w:rsidRPr="002425F4">
        <w:rPr>
          <w:rFonts w:ascii="Palatino Linotype" w:hAnsi="Palatino Linotype"/>
          <w:i/>
          <w:iCs/>
          <w:sz w:val="20"/>
          <w:szCs w:val="18"/>
        </w:rPr>
        <w:t xml:space="preserve"> Educational 2008-2018; Le muse inquiete. La Biennale di Venezia di fronte alla storia; </w:t>
      </w:r>
      <w:proofErr w:type="spellStart"/>
      <w:r w:rsidRPr="002425F4">
        <w:rPr>
          <w:rFonts w:ascii="Palatino Linotype" w:hAnsi="Palatino Linotype"/>
          <w:i/>
          <w:iCs/>
          <w:sz w:val="20"/>
          <w:szCs w:val="18"/>
        </w:rPr>
        <w:t>Archèus</w:t>
      </w:r>
      <w:proofErr w:type="spellEnd"/>
      <w:r w:rsidRPr="002425F4">
        <w:rPr>
          <w:rFonts w:ascii="Palatino Linotype" w:hAnsi="Palatino Linotype"/>
          <w:i/>
          <w:iCs/>
          <w:sz w:val="20"/>
          <w:szCs w:val="18"/>
        </w:rPr>
        <w:t xml:space="preserve"> Labirinto Mozart</w:t>
      </w:r>
      <w:r w:rsidRPr="002425F4">
        <w:rPr>
          <w:rFonts w:ascii="Palatino Linotype" w:hAnsi="Palatino Linotype"/>
          <w:sz w:val="20"/>
          <w:szCs w:val="18"/>
        </w:rPr>
        <w:t xml:space="preserve">, un’installazione immersiva di </w:t>
      </w:r>
      <w:proofErr w:type="spellStart"/>
      <w:r w:rsidRPr="002425F4">
        <w:rPr>
          <w:rFonts w:ascii="Palatino Linotype" w:hAnsi="Palatino Linotype"/>
          <w:sz w:val="20"/>
          <w:szCs w:val="18"/>
        </w:rPr>
        <w:t>Ophicina</w:t>
      </w:r>
      <w:proofErr w:type="spellEnd"/>
      <w:r w:rsidRPr="002425F4">
        <w:rPr>
          <w:rFonts w:ascii="Palatino Linotype" w:hAnsi="Palatino Linotype"/>
          <w:sz w:val="20"/>
          <w:szCs w:val="18"/>
        </w:rPr>
        <w:t xml:space="preserve"> e Damiano Michieletto, progetto speciale dell’Archivio Storico della Biennale per i 1600 anni di Venezia. </w:t>
      </w:r>
      <w:r w:rsidRPr="002425F4">
        <w:rPr>
          <w:rFonts w:ascii="Palatino Linotype" w:hAnsi="Palatino Linotype"/>
          <w:i/>
          <w:iCs/>
          <w:sz w:val="20"/>
          <w:szCs w:val="18"/>
        </w:rPr>
        <w:t>Il Carnevale squarcia la nebbia</w:t>
      </w:r>
      <w:r w:rsidRPr="002425F4">
        <w:rPr>
          <w:rFonts w:ascii="Palatino Linotype" w:hAnsi="Palatino Linotype"/>
          <w:sz w:val="20"/>
          <w:szCs w:val="18"/>
        </w:rPr>
        <w:t xml:space="preserve">. </w:t>
      </w:r>
      <w:r w:rsidRPr="002425F4">
        <w:rPr>
          <w:rFonts w:ascii="Palatino Linotype" w:hAnsi="Palatino Linotype"/>
          <w:i/>
          <w:iCs/>
          <w:sz w:val="20"/>
          <w:szCs w:val="18"/>
        </w:rPr>
        <w:t xml:space="preserve">Venezia, Scaparro, La Biennale 1980, 1981, 1982, 2006 dall’Archivio della Biennale di </w:t>
      </w:r>
      <w:proofErr w:type="gramStart"/>
      <w:r w:rsidRPr="002425F4">
        <w:rPr>
          <w:rFonts w:ascii="Palatino Linotype" w:hAnsi="Palatino Linotype"/>
          <w:i/>
          <w:iCs/>
          <w:sz w:val="20"/>
          <w:szCs w:val="18"/>
        </w:rPr>
        <w:t>Venezia</w:t>
      </w:r>
      <w:r w:rsidRPr="002425F4">
        <w:rPr>
          <w:rFonts w:ascii="Palatino Linotype" w:hAnsi="Palatino Linotype"/>
          <w:i/>
          <w:iCs/>
          <w:color w:val="323232"/>
          <w:sz w:val="20"/>
          <w:szCs w:val="18"/>
        </w:rPr>
        <w:t xml:space="preserve">;  </w:t>
      </w:r>
      <w:r w:rsidRPr="002425F4">
        <w:rPr>
          <w:rFonts w:ascii="Palatino Linotype" w:hAnsi="Palatino Linotype"/>
          <w:i/>
          <w:iCs/>
          <w:sz w:val="20"/>
          <w:szCs w:val="18"/>
        </w:rPr>
        <w:t>1932</w:t>
      </w:r>
      <w:proofErr w:type="gramEnd"/>
      <w:r w:rsidRPr="002425F4">
        <w:rPr>
          <w:rFonts w:ascii="Palatino Linotype" w:hAnsi="Palatino Linotype"/>
          <w:i/>
          <w:iCs/>
          <w:sz w:val="20"/>
          <w:szCs w:val="18"/>
        </w:rPr>
        <w:t xml:space="preserve"> - 2022: I 90 anni della Mostra Internazionale d’arte cinematografica; B74-78. Lorenzo Capellini. Un racconto fotografico; </w:t>
      </w:r>
      <w:r w:rsidRPr="002425F4">
        <w:rPr>
          <w:rFonts w:ascii="Palatino Linotype" w:hAnsi="Palatino Linotype"/>
          <w:i/>
          <w:sz w:val="20"/>
          <w:szCs w:val="18"/>
        </w:rPr>
        <w:t xml:space="preserve">Luca Massimo Barbero. Un Diavolo Amico; </w:t>
      </w:r>
      <w:proofErr w:type="spellStart"/>
      <w:r w:rsidRPr="002425F4">
        <w:rPr>
          <w:rFonts w:ascii="Palatino Linotype" w:hAnsi="Palatino Linotype"/>
          <w:i/>
          <w:sz w:val="20"/>
          <w:szCs w:val="18"/>
        </w:rPr>
        <w:t>Iconoclasts</w:t>
      </w:r>
      <w:proofErr w:type="spellEnd"/>
      <w:r w:rsidRPr="002425F4">
        <w:rPr>
          <w:rFonts w:ascii="Palatino Linotype" w:hAnsi="Palatino Linotype"/>
          <w:i/>
          <w:sz w:val="20"/>
          <w:szCs w:val="18"/>
        </w:rPr>
        <w:t>. Donne che infrangono le regole alla Biennale Danza.</w:t>
      </w:r>
    </w:p>
    <w:p w14:paraId="1942C696" w14:textId="77777777" w:rsidR="002425F4" w:rsidRDefault="002425F4" w:rsidP="002425F4">
      <w:pPr>
        <w:pStyle w:val="Titolo1"/>
        <w:shd w:val="clear" w:color="auto" w:fill="FFFFFF"/>
        <w:spacing w:before="270" w:beforeAutospacing="0" w:after="150" w:afterAutospacing="0"/>
        <w:rPr>
          <w:rFonts w:ascii="Palatino Linotype" w:hAnsi="Palatino Linotype"/>
          <w:i/>
          <w:iCs/>
          <w:sz w:val="18"/>
          <w:szCs w:val="18"/>
        </w:rPr>
      </w:pPr>
    </w:p>
    <w:p w14:paraId="31C91B98" w14:textId="77777777" w:rsidR="002425F4" w:rsidRPr="009A3C93" w:rsidRDefault="002425F4" w:rsidP="002425F4">
      <w:pPr>
        <w:jc w:val="both"/>
        <w:rPr>
          <w:rFonts w:ascii="Palatino Linotype" w:hAnsi="Palatino Linotype"/>
          <w:i/>
          <w:iCs/>
          <w:sz w:val="18"/>
          <w:szCs w:val="18"/>
        </w:rPr>
      </w:pPr>
    </w:p>
    <w:p w14:paraId="0B346B6A" w14:textId="77777777" w:rsidR="002425F4" w:rsidRPr="009A3C93" w:rsidRDefault="002425F4" w:rsidP="002425F4">
      <w:pPr>
        <w:jc w:val="both"/>
        <w:rPr>
          <w:rFonts w:ascii="Palatino Linotype" w:hAnsi="Palatino Linotype"/>
          <w:i/>
          <w:iCs/>
          <w:sz w:val="18"/>
          <w:szCs w:val="18"/>
        </w:rPr>
      </w:pPr>
    </w:p>
    <w:p w14:paraId="75098923" w14:textId="77777777" w:rsidR="003E2471" w:rsidRPr="00246C80" w:rsidRDefault="003E2471" w:rsidP="003E2471">
      <w:pPr>
        <w:jc w:val="both"/>
        <w:outlineLvl w:val="1"/>
        <w:rPr>
          <w:rFonts w:ascii="Palatino Linotype" w:eastAsia="Times New Roman" w:hAnsi="Palatino Linotype" w:cs="Arial"/>
          <w:color w:val="000000"/>
          <w:sz w:val="22"/>
          <w:szCs w:val="22"/>
          <w:lang w:val="en-US"/>
        </w:rPr>
      </w:pPr>
    </w:p>
    <w:p w14:paraId="09DEF66F" w14:textId="77777777" w:rsidR="003E2471" w:rsidRPr="00CB5506" w:rsidRDefault="003E2471" w:rsidP="003E2471">
      <w:pPr>
        <w:jc w:val="both"/>
        <w:outlineLvl w:val="1"/>
        <w:rPr>
          <w:rFonts w:ascii="Palatino Linotype" w:eastAsia="Times New Roman" w:hAnsi="Palatino Linotype" w:cs="Arial"/>
          <w:b/>
          <w:bCs/>
          <w:sz w:val="22"/>
          <w:szCs w:val="22"/>
          <w:lang w:val="en-US"/>
        </w:rPr>
      </w:pPr>
      <w:r>
        <w:rPr>
          <w:rFonts w:ascii="Palatino Linotype" w:eastAsia="Times New Roman" w:hAnsi="Palatino Linotype" w:cs="Arial"/>
          <w:color w:val="000000"/>
          <w:sz w:val="22"/>
          <w:szCs w:val="22"/>
          <w:lang w:val="en-US"/>
        </w:rPr>
        <w:t xml:space="preserve"> </w:t>
      </w:r>
    </w:p>
    <w:p w14:paraId="49A0B765" w14:textId="77777777" w:rsidR="005F6D7D" w:rsidRPr="0082113D" w:rsidRDefault="005F6D7D" w:rsidP="003E2471">
      <w:pPr>
        <w:pStyle w:val="NormaleWeb"/>
        <w:spacing w:before="0" w:beforeAutospacing="0" w:after="0" w:afterAutospacing="0"/>
        <w:jc w:val="both"/>
        <w:rPr>
          <w:rFonts w:ascii="Palatino Linotype" w:hAnsi="Palatino Linotype"/>
        </w:rPr>
      </w:pPr>
    </w:p>
    <w:sectPr w:rsidR="005F6D7D" w:rsidRPr="0082113D"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F2C42" w14:textId="77777777" w:rsidR="00CC7CFA" w:rsidRDefault="00CC7CFA" w:rsidP="008E18FC">
      <w:r>
        <w:separator/>
      </w:r>
    </w:p>
  </w:endnote>
  <w:endnote w:type="continuationSeparator" w:id="0">
    <w:p w14:paraId="078264E7" w14:textId="77777777" w:rsidR="00CC7CFA" w:rsidRDefault="00CC7CFA"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7970C" w14:textId="77777777"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14:anchorId="31B054B4" wp14:editId="54AE41F3">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5D975" w14:textId="77777777"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14:anchorId="32B30E2B" wp14:editId="1A335613">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3E79D132" wp14:editId="625B5124">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7E87A5" w14:textId="77777777" w:rsidR="00CC7CFA" w:rsidRDefault="00CC7CFA" w:rsidP="008E18FC">
      <w:r>
        <w:separator/>
      </w:r>
    </w:p>
  </w:footnote>
  <w:footnote w:type="continuationSeparator" w:id="0">
    <w:p w14:paraId="61AE4D69" w14:textId="77777777" w:rsidR="00CC7CFA" w:rsidRDefault="00CC7CFA"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15137" w14:textId="77777777"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14:anchorId="54769A9F" wp14:editId="6516AB23">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E1C71" w14:textId="77777777"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3C24E8D6" wp14:editId="6F05203F">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150FA"/>
    <w:multiLevelType w:val="hybridMultilevel"/>
    <w:tmpl w:val="D7B0FB8A"/>
    <w:lvl w:ilvl="0" w:tplc="648A908E">
      <w:numFmt w:val="bullet"/>
      <w:lvlText w:val="-"/>
      <w:lvlJc w:val="left"/>
      <w:pPr>
        <w:ind w:left="720" w:hanging="360"/>
      </w:pPr>
      <w:rPr>
        <w:rFonts w:ascii="Palatino Linotype" w:eastAsiaTheme="minorHAnsi" w:hAnsi="Palatino Linotype" w:cs="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9069303">
    <w:abstractNumId w:val="1"/>
  </w:num>
  <w:num w:numId="2" w16cid:durableId="367027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8FC"/>
    <w:rsid w:val="00023C13"/>
    <w:rsid w:val="00034724"/>
    <w:rsid w:val="001008BF"/>
    <w:rsid w:val="001251DD"/>
    <w:rsid w:val="00144CA5"/>
    <w:rsid w:val="00145383"/>
    <w:rsid w:val="0014690D"/>
    <w:rsid w:val="0019409B"/>
    <w:rsid w:val="001A09C9"/>
    <w:rsid w:val="001A6C5D"/>
    <w:rsid w:val="001C2147"/>
    <w:rsid w:val="001C3E48"/>
    <w:rsid w:val="00203A5F"/>
    <w:rsid w:val="002274E7"/>
    <w:rsid w:val="002425F4"/>
    <w:rsid w:val="00246C80"/>
    <w:rsid w:val="00261320"/>
    <w:rsid w:val="002C0C3F"/>
    <w:rsid w:val="002E7B14"/>
    <w:rsid w:val="002F3E31"/>
    <w:rsid w:val="00336D29"/>
    <w:rsid w:val="003661BF"/>
    <w:rsid w:val="0039402B"/>
    <w:rsid w:val="0039739D"/>
    <w:rsid w:val="003E2471"/>
    <w:rsid w:val="00415476"/>
    <w:rsid w:val="00472F5E"/>
    <w:rsid w:val="004C5458"/>
    <w:rsid w:val="004D1B15"/>
    <w:rsid w:val="004F2C0E"/>
    <w:rsid w:val="0050306C"/>
    <w:rsid w:val="005531FE"/>
    <w:rsid w:val="00565D85"/>
    <w:rsid w:val="005F6D7D"/>
    <w:rsid w:val="0067135D"/>
    <w:rsid w:val="006A3E29"/>
    <w:rsid w:val="006E3746"/>
    <w:rsid w:val="007002B4"/>
    <w:rsid w:val="00731F12"/>
    <w:rsid w:val="00746347"/>
    <w:rsid w:val="00747B1F"/>
    <w:rsid w:val="0078494A"/>
    <w:rsid w:val="007D414F"/>
    <w:rsid w:val="008204FF"/>
    <w:rsid w:val="0082113D"/>
    <w:rsid w:val="008E18FC"/>
    <w:rsid w:val="008F7DE1"/>
    <w:rsid w:val="009446CF"/>
    <w:rsid w:val="00991C74"/>
    <w:rsid w:val="009C3A0B"/>
    <w:rsid w:val="009D0D89"/>
    <w:rsid w:val="00A813FA"/>
    <w:rsid w:val="00A838EA"/>
    <w:rsid w:val="00AE7255"/>
    <w:rsid w:val="00AF6C4B"/>
    <w:rsid w:val="00B16398"/>
    <w:rsid w:val="00B921A9"/>
    <w:rsid w:val="00C07552"/>
    <w:rsid w:val="00C152E2"/>
    <w:rsid w:val="00C325CD"/>
    <w:rsid w:val="00C44A65"/>
    <w:rsid w:val="00C47C32"/>
    <w:rsid w:val="00C57D04"/>
    <w:rsid w:val="00CA20DA"/>
    <w:rsid w:val="00CA706D"/>
    <w:rsid w:val="00CC7CFA"/>
    <w:rsid w:val="00D32AFA"/>
    <w:rsid w:val="00D356EC"/>
    <w:rsid w:val="00D84A68"/>
    <w:rsid w:val="00DE6D80"/>
    <w:rsid w:val="00EC0590"/>
    <w:rsid w:val="00EC6D3F"/>
    <w:rsid w:val="00EE0818"/>
    <w:rsid w:val="00F00704"/>
    <w:rsid w:val="00F13BCC"/>
    <w:rsid w:val="00F20084"/>
    <w:rsid w:val="00F67175"/>
    <w:rsid w:val="00F75A9A"/>
    <w:rsid w:val="00FD6C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D79F2"/>
  <w15:docId w15:val="{2B19CCD0-DF57-9F42-92CB-FB1450832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paragraph" w:styleId="Titolo1">
    <w:name w:val="heading 1"/>
    <w:basedOn w:val="Normale"/>
    <w:link w:val="Titolo1Carattere"/>
    <w:uiPriority w:val="9"/>
    <w:qFormat/>
    <w:rsid w:val="002425F4"/>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 w:type="character" w:customStyle="1" w:styleId="Titolo1Carattere">
    <w:name w:val="Titolo 1 Carattere"/>
    <w:basedOn w:val="Carpredefinitoparagrafo"/>
    <w:link w:val="Titolo1"/>
    <w:uiPriority w:val="9"/>
    <w:rsid w:val="002425F4"/>
    <w:rPr>
      <w:rFonts w:ascii="Times New Roman" w:eastAsia="Times New Roman" w:hAnsi="Times New Roman" w:cs="Times New Roman"/>
      <w:b/>
      <w:bCs/>
      <w:kern w:val="36"/>
      <w:sz w:val="48"/>
      <w:szCs w:val="48"/>
      <w:lang w:eastAsia="it-IT"/>
    </w:rPr>
  </w:style>
  <w:style w:type="paragraph" w:customStyle="1" w:styleId="Default">
    <w:name w:val="Default"/>
    <w:rsid w:val="002425F4"/>
    <w:pPr>
      <w:autoSpaceDE w:val="0"/>
      <w:autoSpaceDN w:val="0"/>
      <w:adjustRightInd w:val="0"/>
    </w:pPr>
    <w:rPr>
      <w:rFonts w:ascii="Palatino Linotype" w:hAnsi="Palatino Linotype" w:cs="Palatino Linotype"/>
      <w:color w:val="000000"/>
      <w:kern w:val="0"/>
    </w:rPr>
  </w:style>
  <w:style w:type="paragraph" w:customStyle="1" w:styleId="rtejustify">
    <w:name w:val="rtejustify"/>
    <w:basedOn w:val="Normale"/>
    <w:rsid w:val="002425F4"/>
    <w:pPr>
      <w:spacing w:before="100" w:beforeAutospacing="1" w:after="100" w:afterAutospacing="1"/>
    </w:pPr>
    <w:rPr>
      <w:rFonts w:ascii="Times New Roman" w:hAnsi="Times New Roman" w:cs="Times New Roman"/>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5874F-4395-43F4-B1C1-40098DD0A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1448</Words>
  <Characters>8260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3</cp:revision>
  <cp:lastPrinted>2023-11-16T13:33:00Z</cp:lastPrinted>
  <dcterms:created xsi:type="dcterms:W3CDTF">2024-11-09T02:30:00Z</dcterms:created>
  <dcterms:modified xsi:type="dcterms:W3CDTF">2024-11-09T02:31:00Z</dcterms:modified>
</cp:coreProperties>
</file>